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E83" w:rsidRPr="00815E83" w:rsidRDefault="00815E83" w:rsidP="00815E83">
      <w:pPr>
        <w:spacing w:after="0" w:line="240" w:lineRule="auto"/>
        <w:jc w:val="center"/>
        <w:rPr>
          <w:rFonts w:ascii="Times New Roman" w:eastAsia="Times New Roman" w:hAnsi="Times New Roman" w:cs="Times New Roman"/>
          <w:b/>
          <w:sz w:val="24"/>
          <w:szCs w:val="24"/>
          <w:lang w:eastAsia="pl-PL"/>
        </w:rPr>
      </w:pPr>
      <w:r w:rsidRPr="00815E83">
        <w:rPr>
          <w:rFonts w:ascii="Times New Roman" w:eastAsia="Times New Roman" w:hAnsi="Times New Roman" w:cs="Times New Roman"/>
          <w:b/>
          <w:sz w:val="24"/>
          <w:szCs w:val="24"/>
          <w:lang w:eastAsia="pl-PL"/>
        </w:rPr>
        <w:t>UCHWAŁA Nr II-00313-</w:t>
      </w:r>
      <w:r>
        <w:rPr>
          <w:rFonts w:ascii="Times New Roman" w:eastAsia="Times New Roman" w:hAnsi="Times New Roman" w:cs="Times New Roman"/>
          <w:b/>
          <w:sz w:val="24"/>
          <w:szCs w:val="24"/>
          <w:lang w:eastAsia="pl-PL"/>
        </w:rPr>
        <w:t>34</w:t>
      </w:r>
      <w:r w:rsidRPr="00815E83">
        <w:rPr>
          <w:rFonts w:ascii="Times New Roman" w:eastAsia="Times New Roman" w:hAnsi="Times New Roman" w:cs="Times New Roman"/>
          <w:b/>
          <w:sz w:val="24"/>
          <w:szCs w:val="24"/>
          <w:lang w:eastAsia="pl-PL"/>
        </w:rPr>
        <w:t>/12</w:t>
      </w:r>
    </w:p>
    <w:p w:rsidR="00815E83" w:rsidRPr="00815E83" w:rsidRDefault="00815E83" w:rsidP="00815E83">
      <w:pPr>
        <w:spacing w:after="0" w:line="240" w:lineRule="auto"/>
        <w:jc w:val="center"/>
        <w:rPr>
          <w:rFonts w:ascii="Times New Roman" w:eastAsia="Times New Roman" w:hAnsi="Times New Roman" w:cs="Times New Roman"/>
          <w:b/>
          <w:sz w:val="24"/>
          <w:szCs w:val="24"/>
          <w:lang w:eastAsia="pl-PL"/>
        </w:rPr>
      </w:pPr>
      <w:r w:rsidRPr="00815E83">
        <w:rPr>
          <w:rFonts w:ascii="Times New Roman" w:eastAsia="Times New Roman" w:hAnsi="Times New Roman" w:cs="Times New Roman"/>
          <w:b/>
          <w:sz w:val="24"/>
          <w:szCs w:val="24"/>
          <w:lang w:eastAsia="pl-PL"/>
        </w:rPr>
        <w:t>Składu Orzekającego Regionalnej Izby Obrachunkowej</w:t>
      </w:r>
    </w:p>
    <w:p w:rsidR="00815E83" w:rsidRPr="00815E83" w:rsidRDefault="00815E83" w:rsidP="00815E83">
      <w:pPr>
        <w:spacing w:after="0" w:line="240" w:lineRule="auto"/>
        <w:jc w:val="center"/>
        <w:rPr>
          <w:rFonts w:ascii="Times New Roman" w:eastAsia="Times New Roman" w:hAnsi="Times New Roman" w:cs="Times New Roman"/>
          <w:b/>
          <w:sz w:val="24"/>
          <w:szCs w:val="24"/>
          <w:lang w:eastAsia="pl-PL"/>
        </w:rPr>
      </w:pPr>
      <w:r w:rsidRPr="00815E83">
        <w:rPr>
          <w:rFonts w:ascii="Times New Roman" w:eastAsia="Times New Roman" w:hAnsi="Times New Roman" w:cs="Times New Roman"/>
          <w:b/>
          <w:sz w:val="24"/>
          <w:szCs w:val="24"/>
          <w:lang w:eastAsia="pl-PL"/>
        </w:rPr>
        <w:t xml:space="preserve">w Białymstoku z dnia </w:t>
      </w:r>
      <w:r w:rsidR="00F80C63">
        <w:rPr>
          <w:rFonts w:ascii="Times New Roman" w:eastAsia="Times New Roman" w:hAnsi="Times New Roman" w:cs="Times New Roman"/>
          <w:b/>
          <w:sz w:val="24"/>
          <w:szCs w:val="24"/>
          <w:lang w:eastAsia="pl-PL"/>
        </w:rPr>
        <w:t>8</w:t>
      </w:r>
      <w:r w:rsidRPr="00815E83">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czerwca</w:t>
      </w:r>
      <w:r w:rsidRPr="00815E83">
        <w:rPr>
          <w:rFonts w:ascii="Times New Roman" w:eastAsia="Times New Roman" w:hAnsi="Times New Roman" w:cs="Times New Roman"/>
          <w:b/>
          <w:sz w:val="24"/>
          <w:szCs w:val="24"/>
          <w:lang w:eastAsia="pl-PL"/>
        </w:rPr>
        <w:t xml:space="preserve"> 2012 r.</w:t>
      </w:r>
    </w:p>
    <w:p w:rsidR="00815E83" w:rsidRPr="00815E83" w:rsidRDefault="00815E83" w:rsidP="00815E83">
      <w:pPr>
        <w:spacing w:after="0" w:line="240" w:lineRule="auto"/>
        <w:jc w:val="center"/>
        <w:rPr>
          <w:rFonts w:ascii="Times New Roman" w:eastAsia="Times New Roman" w:hAnsi="Times New Roman" w:cs="Times New Roman"/>
          <w:b/>
          <w:sz w:val="24"/>
          <w:szCs w:val="24"/>
          <w:lang w:eastAsia="pl-PL"/>
        </w:rPr>
      </w:pPr>
    </w:p>
    <w:p w:rsidR="00815E83" w:rsidRPr="00815E83" w:rsidRDefault="00815E83" w:rsidP="00815E83">
      <w:pPr>
        <w:spacing w:after="0" w:line="240" w:lineRule="auto"/>
        <w:jc w:val="center"/>
        <w:rPr>
          <w:rFonts w:ascii="Times New Roman" w:eastAsia="Times New Roman" w:hAnsi="Times New Roman" w:cs="Times New Roman"/>
          <w:b/>
          <w:sz w:val="24"/>
          <w:szCs w:val="24"/>
          <w:lang w:eastAsia="pl-PL"/>
        </w:rPr>
      </w:pPr>
      <w:bookmarkStart w:id="0" w:name="_GoBack"/>
      <w:r w:rsidRPr="00815E83">
        <w:rPr>
          <w:rFonts w:ascii="Times New Roman" w:eastAsia="Times New Roman" w:hAnsi="Times New Roman" w:cs="Times New Roman"/>
          <w:b/>
          <w:sz w:val="24"/>
          <w:szCs w:val="24"/>
          <w:lang w:eastAsia="pl-PL"/>
        </w:rPr>
        <w:t xml:space="preserve">w sprawie wyrażenia opinii o możliwości spłaty kredytu długoterminowego </w:t>
      </w:r>
      <w:r w:rsidRPr="00815E83">
        <w:rPr>
          <w:rFonts w:ascii="Times New Roman" w:eastAsia="Times New Roman" w:hAnsi="Times New Roman" w:cs="Times New Roman"/>
          <w:b/>
          <w:sz w:val="24"/>
          <w:szCs w:val="24"/>
          <w:lang w:eastAsia="pl-PL"/>
        </w:rPr>
        <w:br/>
        <w:t>przez Gminę Nurzec-Stacja</w:t>
      </w:r>
    </w:p>
    <w:p w:rsidR="00815E83" w:rsidRPr="00815E83" w:rsidRDefault="00815E83" w:rsidP="00815E83">
      <w:pPr>
        <w:spacing w:after="0" w:line="240" w:lineRule="auto"/>
        <w:jc w:val="center"/>
        <w:rPr>
          <w:rFonts w:ascii="Times New Roman" w:eastAsia="Times New Roman" w:hAnsi="Times New Roman" w:cs="Times New Roman"/>
          <w:sz w:val="24"/>
          <w:szCs w:val="24"/>
          <w:lang w:eastAsia="pl-PL"/>
        </w:rPr>
      </w:pPr>
    </w:p>
    <w:bookmarkEnd w:id="0"/>
    <w:p w:rsidR="00815E83" w:rsidRPr="00815E83" w:rsidRDefault="00815E83" w:rsidP="00815E83">
      <w:pPr>
        <w:spacing w:after="0" w:line="240" w:lineRule="auto"/>
        <w:jc w:val="center"/>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ab/>
        <w:t xml:space="preserve">Na podstawie art. 13 pkt 1 i art. 19 ust. 2 ustawy z dnia 7 października 1992 r. o regionalnych izbach obrachunkowych (tekst jednolity: </w:t>
      </w:r>
      <w:proofErr w:type="spellStart"/>
      <w:r w:rsidRPr="00815E83">
        <w:rPr>
          <w:rFonts w:ascii="Times New Roman" w:eastAsia="Times New Roman" w:hAnsi="Times New Roman" w:cs="Times New Roman"/>
          <w:sz w:val="24"/>
          <w:szCs w:val="24"/>
          <w:lang w:eastAsia="pl-PL"/>
        </w:rPr>
        <w:t>Dz.U</w:t>
      </w:r>
      <w:proofErr w:type="spellEnd"/>
      <w:r w:rsidRPr="00815E83">
        <w:rPr>
          <w:rFonts w:ascii="Times New Roman" w:eastAsia="Times New Roman" w:hAnsi="Times New Roman" w:cs="Times New Roman"/>
          <w:sz w:val="24"/>
          <w:szCs w:val="24"/>
          <w:lang w:eastAsia="pl-PL"/>
        </w:rPr>
        <w:t>. z 2001 r. Nr 55, poz. 577 ze zm.), art. 91 ust. 2 ustawy z dnia 27 sierpnia 2009 r. o finansach publicznych (</w:t>
      </w:r>
      <w:proofErr w:type="spellStart"/>
      <w:r w:rsidRPr="00815E83">
        <w:rPr>
          <w:rFonts w:ascii="Times New Roman" w:eastAsia="Times New Roman" w:hAnsi="Times New Roman" w:cs="Times New Roman"/>
          <w:sz w:val="24"/>
          <w:szCs w:val="24"/>
          <w:lang w:eastAsia="pl-PL"/>
        </w:rPr>
        <w:t>Dz.U</w:t>
      </w:r>
      <w:proofErr w:type="spellEnd"/>
      <w:r w:rsidRPr="00815E83">
        <w:rPr>
          <w:rFonts w:ascii="Times New Roman" w:eastAsia="Times New Roman" w:hAnsi="Times New Roman" w:cs="Times New Roman"/>
          <w:sz w:val="24"/>
          <w:szCs w:val="24"/>
          <w:lang w:eastAsia="pl-PL"/>
        </w:rPr>
        <w:t>. Nr 157, poz. 1240 ze zm.) oraz Zarządzenia Nr 5/11 z dnia 3 października 2011 r. Prezesa Regionalnej Izby Obrachunkowej w Białymstoku w sprawie wyznaczenia składów orzekających i ich przewodniczących działających w siedzibie RIO w Białymstoku i Zespołach zamiejscowych w Łomży i Suwałkach:</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both"/>
        <w:rPr>
          <w:rFonts w:ascii="Times New Roman" w:eastAsia="Times New Roman" w:hAnsi="Times New Roman" w:cs="Times New Roman"/>
          <w:sz w:val="24"/>
          <w:szCs w:val="24"/>
          <w:u w:val="single"/>
          <w:lang w:eastAsia="pl-PL"/>
        </w:rPr>
      </w:pPr>
      <w:r w:rsidRPr="00815E83">
        <w:rPr>
          <w:rFonts w:ascii="Times New Roman" w:eastAsia="Times New Roman" w:hAnsi="Times New Roman" w:cs="Times New Roman"/>
          <w:sz w:val="24"/>
          <w:szCs w:val="24"/>
          <w:u w:val="single"/>
          <w:lang w:eastAsia="pl-PL"/>
        </w:rPr>
        <w:t>Skład Orzekający w osobach:</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Aleksander Piszczatows</w:t>
      </w:r>
      <w:r w:rsidR="00CE38AA">
        <w:rPr>
          <w:rFonts w:ascii="Times New Roman" w:eastAsia="Times New Roman" w:hAnsi="Times New Roman" w:cs="Times New Roman"/>
          <w:sz w:val="24"/>
          <w:szCs w:val="24"/>
          <w:lang w:eastAsia="pl-PL"/>
        </w:rPr>
        <w:t>k</w:t>
      </w:r>
      <w:r w:rsidR="007B5D69">
        <w:rPr>
          <w:rFonts w:ascii="Times New Roman" w:eastAsia="Times New Roman" w:hAnsi="Times New Roman" w:cs="Times New Roman"/>
          <w:sz w:val="24"/>
          <w:szCs w:val="24"/>
          <w:lang w:eastAsia="pl-PL"/>
        </w:rPr>
        <w:t>i</w:t>
      </w:r>
      <w:r w:rsidR="007B5D69">
        <w:rPr>
          <w:rFonts w:ascii="Times New Roman" w:eastAsia="Times New Roman" w:hAnsi="Times New Roman" w:cs="Times New Roman"/>
          <w:sz w:val="24"/>
          <w:szCs w:val="24"/>
          <w:lang w:eastAsia="pl-PL"/>
        </w:rPr>
        <w:tab/>
        <w:t xml:space="preserve"> – przewodniczący</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Bogusław Dębski</w:t>
      </w:r>
      <w:r w:rsidRPr="00815E83">
        <w:rPr>
          <w:rFonts w:ascii="Times New Roman" w:eastAsia="Times New Roman" w:hAnsi="Times New Roman" w:cs="Times New Roman"/>
          <w:sz w:val="24"/>
          <w:szCs w:val="24"/>
          <w:lang w:eastAsia="pl-PL"/>
        </w:rPr>
        <w:tab/>
      </w:r>
      <w:r w:rsidRPr="00815E83">
        <w:rPr>
          <w:rFonts w:ascii="Times New Roman" w:eastAsia="Times New Roman" w:hAnsi="Times New Roman" w:cs="Times New Roman"/>
          <w:sz w:val="24"/>
          <w:szCs w:val="24"/>
          <w:lang w:eastAsia="pl-PL"/>
        </w:rPr>
        <w:tab/>
        <w:t xml:space="preserve"> – członek</w:t>
      </w:r>
    </w:p>
    <w:p w:rsidR="00815E83" w:rsidRPr="00815E83" w:rsidRDefault="00F80C63" w:rsidP="00815E83">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Agnieszka Gerasi</w:t>
      </w:r>
      <w:r w:rsidR="00815E83" w:rsidRPr="00815E83">
        <w:rPr>
          <w:rFonts w:ascii="Times New Roman" w:eastAsia="Times New Roman" w:hAnsi="Times New Roman" w:cs="Times New Roman"/>
          <w:sz w:val="24"/>
          <w:szCs w:val="24"/>
          <w:lang w:eastAsia="pl-PL"/>
        </w:rPr>
        <w:t>miuk</w:t>
      </w:r>
      <w:r w:rsidR="00815E83" w:rsidRPr="00815E83">
        <w:rPr>
          <w:rFonts w:ascii="Times New Roman" w:eastAsia="Times New Roman" w:hAnsi="Times New Roman" w:cs="Times New Roman"/>
          <w:sz w:val="24"/>
          <w:szCs w:val="24"/>
          <w:lang w:eastAsia="pl-PL"/>
        </w:rPr>
        <w:tab/>
        <w:t xml:space="preserve"> – członek</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center"/>
        <w:rPr>
          <w:rFonts w:ascii="Times New Roman" w:eastAsia="Times New Roman" w:hAnsi="Times New Roman" w:cs="Times New Roman"/>
          <w:b/>
          <w:sz w:val="24"/>
          <w:szCs w:val="24"/>
          <w:lang w:eastAsia="pl-PL"/>
        </w:rPr>
      </w:pPr>
      <w:r w:rsidRPr="00815E83">
        <w:rPr>
          <w:rFonts w:ascii="Times New Roman" w:eastAsia="Times New Roman" w:hAnsi="Times New Roman" w:cs="Times New Roman"/>
          <w:b/>
          <w:sz w:val="24"/>
          <w:szCs w:val="24"/>
          <w:lang w:eastAsia="pl-PL"/>
        </w:rPr>
        <w:t>opiniuje pozytywnie</w:t>
      </w:r>
    </w:p>
    <w:p w:rsidR="00815E83" w:rsidRPr="00815E83" w:rsidRDefault="00815E83" w:rsidP="00815E83">
      <w:pPr>
        <w:spacing w:after="0" w:line="240" w:lineRule="auto"/>
        <w:jc w:val="center"/>
        <w:rPr>
          <w:rFonts w:ascii="Times New Roman" w:eastAsia="Times New Roman" w:hAnsi="Times New Roman" w:cs="Times New Roman"/>
          <w:sz w:val="24"/>
          <w:szCs w:val="24"/>
          <w:lang w:eastAsia="pl-PL"/>
        </w:rPr>
      </w:pPr>
    </w:p>
    <w:p w:rsidR="00815E83" w:rsidRPr="007B5D69" w:rsidRDefault="00815E83" w:rsidP="00815E83">
      <w:pPr>
        <w:spacing w:after="0" w:line="240" w:lineRule="auto"/>
        <w:jc w:val="both"/>
        <w:rPr>
          <w:rFonts w:ascii="Times New Roman" w:eastAsia="Times New Roman" w:hAnsi="Times New Roman" w:cs="Times New Roman"/>
          <w:b/>
          <w:sz w:val="24"/>
          <w:szCs w:val="24"/>
          <w:lang w:eastAsia="pl-PL"/>
        </w:rPr>
      </w:pPr>
      <w:r w:rsidRPr="007B5D69">
        <w:rPr>
          <w:rFonts w:ascii="Times New Roman" w:eastAsia="Times New Roman" w:hAnsi="Times New Roman" w:cs="Times New Roman"/>
          <w:b/>
          <w:sz w:val="24"/>
          <w:szCs w:val="24"/>
          <w:lang w:eastAsia="pl-PL"/>
        </w:rPr>
        <w:t>możliwość  spłaty przewidzianego do zaciągnięcia kredytu przez Gminę Nurzec Stacja</w:t>
      </w:r>
    </w:p>
    <w:p w:rsidR="00815E83" w:rsidRPr="00815E83" w:rsidRDefault="00815E83" w:rsidP="00815E83">
      <w:pPr>
        <w:spacing w:after="0" w:line="240" w:lineRule="auto"/>
        <w:jc w:val="center"/>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center"/>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center"/>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U Z A S A D N I E N I E</w:t>
      </w:r>
    </w:p>
    <w:p w:rsidR="00815E83" w:rsidRPr="00815E83" w:rsidRDefault="00815E83" w:rsidP="00815E83">
      <w:pPr>
        <w:spacing w:after="0" w:line="240" w:lineRule="auto"/>
        <w:jc w:val="center"/>
        <w:rPr>
          <w:rFonts w:ascii="Times New Roman" w:eastAsia="Times New Roman" w:hAnsi="Times New Roman" w:cs="Times New Roman"/>
          <w:sz w:val="24"/>
          <w:szCs w:val="24"/>
          <w:lang w:eastAsia="pl-PL"/>
        </w:rPr>
      </w:pP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xml:space="preserve">Wójt Gminy Nurzec Stacja pismem z </w:t>
      </w:r>
      <w:r w:rsidR="00F80C63">
        <w:rPr>
          <w:rFonts w:ascii="Times New Roman" w:eastAsia="Times New Roman" w:hAnsi="Times New Roman" w:cs="Times New Roman"/>
          <w:sz w:val="24"/>
          <w:szCs w:val="24"/>
          <w:lang w:eastAsia="pl-PL"/>
        </w:rPr>
        <w:t xml:space="preserve">dnia </w:t>
      </w:r>
      <w:r w:rsidRPr="00815E83">
        <w:rPr>
          <w:rFonts w:ascii="Times New Roman" w:eastAsia="Times New Roman" w:hAnsi="Times New Roman" w:cs="Times New Roman"/>
          <w:sz w:val="24"/>
          <w:szCs w:val="24"/>
          <w:lang w:eastAsia="pl-PL"/>
        </w:rPr>
        <w:t xml:space="preserve">31 maja 2012 r. </w:t>
      </w:r>
      <w:r w:rsidR="007B5D69">
        <w:rPr>
          <w:rFonts w:ascii="Times New Roman" w:eastAsia="Times New Roman" w:hAnsi="Times New Roman" w:cs="Times New Roman"/>
          <w:sz w:val="24"/>
          <w:szCs w:val="24"/>
          <w:lang w:eastAsia="pl-PL"/>
        </w:rPr>
        <w:t xml:space="preserve">Nr: FNS.3021.1.2012, </w:t>
      </w:r>
      <w:r w:rsidRPr="00815E83">
        <w:rPr>
          <w:rFonts w:ascii="Times New Roman" w:eastAsia="Times New Roman" w:hAnsi="Times New Roman" w:cs="Times New Roman"/>
          <w:sz w:val="24"/>
          <w:szCs w:val="24"/>
          <w:lang w:eastAsia="pl-PL"/>
        </w:rPr>
        <w:t>wystąpił do Regionalnej Izby Obrachunkowej w Białymstoku o wydanie opinii o możliwości spłaty, przewidzianego do zaciągnięcia w budżecie na 2012 r</w:t>
      </w:r>
      <w:r w:rsidR="00F80C63">
        <w:rPr>
          <w:rFonts w:ascii="Times New Roman" w:eastAsia="Times New Roman" w:hAnsi="Times New Roman" w:cs="Times New Roman"/>
          <w:sz w:val="24"/>
          <w:szCs w:val="24"/>
          <w:lang w:eastAsia="pl-PL"/>
        </w:rPr>
        <w:t>. kredytu w kwocie 2.220.000 zł</w:t>
      </w:r>
      <w:r w:rsidRPr="00815E83">
        <w:rPr>
          <w:rFonts w:ascii="Times New Roman" w:eastAsia="Times New Roman" w:hAnsi="Times New Roman" w:cs="Times New Roman"/>
          <w:sz w:val="24"/>
          <w:szCs w:val="24"/>
          <w:lang w:eastAsia="pl-PL"/>
        </w:rPr>
        <w:t xml:space="preserve"> z przeznaczeniem na sfinansowanie planowanego deficytu budżetowego oraz na spłatę wcześniej zaciągniętych zobowiązań</w:t>
      </w:r>
      <w:r w:rsidR="00F80C63">
        <w:rPr>
          <w:rFonts w:ascii="Times New Roman" w:eastAsia="Times New Roman" w:hAnsi="Times New Roman" w:cs="Times New Roman"/>
          <w:sz w:val="24"/>
          <w:szCs w:val="24"/>
          <w:lang w:eastAsia="pl-PL"/>
        </w:rPr>
        <w:t xml:space="preserve"> z tytułu kredytów i pożyczek.</w:t>
      </w: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W związku z tym Skład Orzekający</w:t>
      </w:r>
      <w:r w:rsidR="007B5D69">
        <w:rPr>
          <w:rFonts w:ascii="Times New Roman" w:eastAsia="Times New Roman" w:hAnsi="Times New Roman" w:cs="Times New Roman"/>
          <w:sz w:val="24"/>
          <w:szCs w:val="24"/>
          <w:lang w:eastAsia="pl-PL"/>
        </w:rPr>
        <w:t>,</w:t>
      </w:r>
      <w:r w:rsidRPr="00815E83">
        <w:rPr>
          <w:rFonts w:ascii="Times New Roman" w:eastAsia="Times New Roman" w:hAnsi="Times New Roman" w:cs="Times New Roman"/>
          <w:sz w:val="24"/>
          <w:szCs w:val="24"/>
          <w:lang w:eastAsia="pl-PL"/>
        </w:rPr>
        <w:t xml:space="preserve"> po dokonaniu analizy przedłożonych dokumentów stwierdza co następuje:</w:t>
      </w: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xml:space="preserve">Rada Gminy Nurzec Stacja Uchwałą Nr XI/94/2012 z dnia 22 maja 2012 r. w sprawie zmian w budżecie gminy na 2012 r. zmniejszyła deficyt budżetowy o dalsze 705.497 zł. Uchwalony budżet po zmianach wynosi: </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dochody ogółem – 11.681.829 zł,</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xml:space="preserve">- wydatki ogółem  – 13.414.444 zł. </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xml:space="preserve">Deficyt budżetowy wynosi 1.732.615 zł, </w:t>
      </w:r>
      <w:r w:rsidR="007B5D69">
        <w:rPr>
          <w:rFonts w:ascii="Times New Roman" w:eastAsia="Times New Roman" w:hAnsi="Times New Roman" w:cs="Times New Roman"/>
          <w:sz w:val="24"/>
          <w:szCs w:val="24"/>
          <w:lang w:eastAsia="pl-PL"/>
        </w:rPr>
        <w:t>i</w:t>
      </w:r>
      <w:r w:rsidRPr="00815E83">
        <w:rPr>
          <w:rFonts w:ascii="Times New Roman" w:eastAsia="Times New Roman" w:hAnsi="Times New Roman" w:cs="Times New Roman"/>
          <w:sz w:val="24"/>
          <w:szCs w:val="24"/>
          <w:lang w:eastAsia="pl-PL"/>
        </w:rPr>
        <w:t xml:space="preserve"> w całości będzie pokryty przychodami pochodzącymi z zaciągniętych kredytów.</w:t>
      </w: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xml:space="preserve">Gmina w 2012 roku zobowiązana jest spłacić raty z tytułu zaciągniętych kredytów i pożyczek w kwocie 850.000 zł. Jako źródło spłaty rat ustalono kredyt w kwocie 487.385 zł oraz wolne środki w kwocie 362.615 zł.  </w:t>
      </w: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W ramach zaplanowanego w budżecie kredytu Wójt wydał Zarządzenie Nr 94/12 z dnia 28 maja 2012 r. o zaciągnięciu kredytu długoterminowego na sfinansowanie planowanego deficytu budżetu Gminy Nurzec Stacja oraz spłatę wcześniej zaciągniętych zobowiązań z tytułu kredytów i po</w:t>
      </w:r>
      <w:r w:rsidR="00F80C63">
        <w:rPr>
          <w:rFonts w:ascii="Times New Roman" w:eastAsia="Times New Roman" w:hAnsi="Times New Roman" w:cs="Times New Roman"/>
          <w:sz w:val="24"/>
          <w:szCs w:val="24"/>
          <w:lang w:eastAsia="pl-PL"/>
        </w:rPr>
        <w:t>życzek w wysokości 2.220.000 zł</w:t>
      </w:r>
      <w:r w:rsidRPr="00815E83">
        <w:rPr>
          <w:rFonts w:ascii="Times New Roman" w:eastAsia="Times New Roman" w:hAnsi="Times New Roman" w:cs="Times New Roman"/>
          <w:sz w:val="24"/>
          <w:szCs w:val="24"/>
          <w:lang w:eastAsia="pl-PL"/>
        </w:rPr>
        <w:t xml:space="preserve"> (zmieniające Zarządzenie </w:t>
      </w:r>
      <w:r w:rsidRPr="00815E83">
        <w:rPr>
          <w:rFonts w:ascii="Times New Roman" w:eastAsia="Times New Roman" w:hAnsi="Times New Roman" w:cs="Times New Roman"/>
          <w:sz w:val="24"/>
          <w:szCs w:val="24"/>
          <w:lang w:eastAsia="pl-PL"/>
        </w:rPr>
        <w:lastRenderedPageBreak/>
        <w:t xml:space="preserve">Nr 73/12 z dnia 3 stycznia 2012 r.). Postanowiono jednocześnie, że kredyt będzie spłacany w latach 2013 – 2024.  Źródłem pokrycia spłaty będą dochody gminy. </w:t>
      </w: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Zgodnie z postanowieniami art. 89 ust. 1 pkt 2 i 3 ustawy z 27 sierpnia 2009 r. o finansach publicznych (Dz. U. Nr 157, poz. 1240 ze zm.) jednostki samorządu terytorialnego mogą zaciągać kredyt na wskazany wyżej cel. Jednocześnie stwierdza się, że wielkość planowanego  do zaciągnięcia kredytu  mieści się w limicie określonym na 2012 r. w przywołanej wyżej uchwale.</w:t>
      </w: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xml:space="preserve">Jak wynika z Wieloletniej Prognozy Finansowej Gminy Nurzec Stacja na lata </w:t>
      </w:r>
      <w:r w:rsidR="007B5D69">
        <w:rPr>
          <w:rFonts w:ascii="Times New Roman" w:eastAsia="Times New Roman" w:hAnsi="Times New Roman" w:cs="Times New Roman"/>
          <w:sz w:val="24"/>
          <w:szCs w:val="24"/>
          <w:lang w:eastAsia="pl-PL"/>
        </w:rPr>
        <w:br/>
      </w:r>
      <w:r w:rsidRPr="00815E83">
        <w:rPr>
          <w:rFonts w:ascii="Times New Roman" w:eastAsia="Times New Roman" w:hAnsi="Times New Roman" w:cs="Times New Roman"/>
          <w:sz w:val="24"/>
          <w:szCs w:val="24"/>
          <w:lang w:eastAsia="pl-PL"/>
        </w:rPr>
        <w:t>2012–2024 podjętej Uchwałą Nr XI/93/2012 z dnia 22 maja 2012 r. stan zadłużenia na koniec 2012 r. wyniesie 5.122.000 zł, co stanowi 43,85% planowanych dochodów, przy dopuszczalnym 60% wskaźniku zadłużenia ustalonym art. 170 ustawy z dnia 30 czerwca 2005 r. o finansach publicznych (Dz. U</w:t>
      </w:r>
      <w:r w:rsidR="00F80C63">
        <w:rPr>
          <w:rFonts w:ascii="Times New Roman" w:eastAsia="Times New Roman" w:hAnsi="Times New Roman" w:cs="Times New Roman"/>
          <w:sz w:val="24"/>
          <w:szCs w:val="24"/>
          <w:lang w:eastAsia="pl-PL"/>
        </w:rPr>
        <w:t>.</w:t>
      </w:r>
      <w:r w:rsidRPr="00815E83">
        <w:rPr>
          <w:rFonts w:ascii="Times New Roman" w:eastAsia="Times New Roman" w:hAnsi="Times New Roman" w:cs="Times New Roman"/>
          <w:sz w:val="24"/>
          <w:szCs w:val="24"/>
          <w:lang w:eastAsia="pl-PL"/>
        </w:rPr>
        <w:t xml:space="preserve"> Nr 249</w:t>
      </w:r>
      <w:r w:rsidR="00F80C63">
        <w:rPr>
          <w:rFonts w:ascii="Times New Roman" w:eastAsia="Times New Roman" w:hAnsi="Times New Roman" w:cs="Times New Roman"/>
          <w:sz w:val="24"/>
          <w:szCs w:val="24"/>
          <w:lang w:eastAsia="pl-PL"/>
        </w:rPr>
        <w:t>,</w:t>
      </w:r>
      <w:r w:rsidRPr="00815E83">
        <w:rPr>
          <w:rFonts w:ascii="Times New Roman" w:eastAsia="Times New Roman" w:hAnsi="Times New Roman" w:cs="Times New Roman"/>
          <w:sz w:val="24"/>
          <w:szCs w:val="24"/>
          <w:lang w:eastAsia="pl-PL"/>
        </w:rPr>
        <w:t xml:space="preserve"> poz. 2104 ze zm.), w związku z postanowieniami art. 121 ust. 7 ustawy z 27 sierpnia 2009 r. Przepisy wprowadzające ustawę o finansach publicznych (Dz. U. Nr 157 poz. 1241</w:t>
      </w:r>
      <w:r w:rsidR="00F80C63">
        <w:rPr>
          <w:rFonts w:ascii="Times New Roman" w:eastAsia="Times New Roman" w:hAnsi="Times New Roman" w:cs="Times New Roman"/>
          <w:sz w:val="24"/>
          <w:szCs w:val="24"/>
          <w:lang w:eastAsia="pl-PL"/>
        </w:rPr>
        <w:t xml:space="preserve"> ze zm.</w:t>
      </w:r>
      <w:r w:rsidRPr="00815E83">
        <w:rPr>
          <w:rFonts w:ascii="Times New Roman" w:eastAsia="Times New Roman" w:hAnsi="Times New Roman" w:cs="Times New Roman"/>
          <w:sz w:val="24"/>
          <w:szCs w:val="24"/>
          <w:lang w:eastAsia="pl-PL"/>
        </w:rPr>
        <w:t>).</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Łączna kwota</w:t>
      </w:r>
      <w:r w:rsidR="002040D7">
        <w:rPr>
          <w:rFonts w:ascii="Times New Roman" w:eastAsia="Times New Roman" w:hAnsi="Times New Roman" w:cs="Times New Roman"/>
          <w:sz w:val="24"/>
          <w:szCs w:val="24"/>
          <w:lang w:eastAsia="pl-PL"/>
        </w:rPr>
        <w:t xml:space="preserve"> </w:t>
      </w:r>
      <w:r w:rsidRPr="00815E83">
        <w:rPr>
          <w:rFonts w:ascii="Times New Roman" w:eastAsia="Times New Roman" w:hAnsi="Times New Roman" w:cs="Times New Roman"/>
          <w:sz w:val="24"/>
          <w:szCs w:val="24"/>
          <w:lang w:eastAsia="pl-PL"/>
        </w:rPr>
        <w:t xml:space="preserve">przypadających do spłaty w 2012 roku </w:t>
      </w:r>
      <w:r w:rsidR="002040D7">
        <w:rPr>
          <w:rFonts w:ascii="Times New Roman" w:eastAsia="Times New Roman" w:hAnsi="Times New Roman" w:cs="Times New Roman"/>
          <w:sz w:val="24"/>
          <w:szCs w:val="24"/>
          <w:lang w:eastAsia="pl-PL"/>
        </w:rPr>
        <w:t>zobowiązań</w:t>
      </w:r>
      <w:r w:rsidR="002040D7" w:rsidRPr="00815E83">
        <w:rPr>
          <w:rFonts w:ascii="Times New Roman" w:eastAsia="Times New Roman" w:hAnsi="Times New Roman" w:cs="Times New Roman"/>
          <w:sz w:val="24"/>
          <w:szCs w:val="24"/>
          <w:lang w:eastAsia="pl-PL"/>
        </w:rPr>
        <w:t xml:space="preserve"> </w:t>
      </w:r>
      <w:r w:rsidRPr="00815E83">
        <w:rPr>
          <w:rFonts w:ascii="Times New Roman" w:eastAsia="Times New Roman" w:hAnsi="Times New Roman" w:cs="Times New Roman"/>
          <w:sz w:val="24"/>
          <w:szCs w:val="24"/>
          <w:lang w:eastAsia="pl-PL"/>
        </w:rPr>
        <w:t xml:space="preserve">z tytułu odsetek i rat spłat dotychczasowego długu wyniesie 1.100.000 zł, co stanowi 9,42% planowanych dochodów, przy dopuszczalnej 15% wielkości określonej art. 169 ust. 1  ww. ustawy (a po zastosowaniu </w:t>
      </w:r>
      <w:proofErr w:type="spellStart"/>
      <w:r w:rsidRPr="00815E83">
        <w:rPr>
          <w:rFonts w:ascii="Times New Roman" w:eastAsia="Times New Roman" w:hAnsi="Times New Roman" w:cs="Times New Roman"/>
          <w:sz w:val="24"/>
          <w:szCs w:val="24"/>
          <w:lang w:eastAsia="pl-PL"/>
        </w:rPr>
        <w:t>wyłączeń</w:t>
      </w:r>
      <w:proofErr w:type="spellEnd"/>
      <w:r w:rsidRPr="00815E83">
        <w:rPr>
          <w:rFonts w:ascii="Times New Roman" w:eastAsia="Times New Roman" w:hAnsi="Times New Roman" w:cs="Times New Roman"/>
          <w:sz w:val="24"/>
          <w:szCs w:val="24"/>
          <w:lang w:eastAsia="pl-PL"/>
        </w:rPr>
        <w:t xml:space="preserve"> stanowi 9,20%).</w:t>
      </w:r>
    </w:p>
    <w:p w:rsidR="00815E83" w:rsidRPr="00815E83" w:rsidRDefault="00815E83" w:rsidP="00815E83">
      <w:pPr>
        <w:spacing w:after="0" w:line="240" w:lineRule="auto"/>
        <w:ind w:firstLine="720"/>
        <w:jc w:val="both"/>
        <w:rPr>
          <w:rFonts w:ascii="Times New Roman" w:eastAsia="Times New Roman" w:hAnsi="Times New Roman" w:cs="Times New Roman"/>
          <w:bCs/>
          <w:sz w:val="24"/>
          <w:szCs w:val="24"/>
          <w:lang w:eastAsia="pl-PL"/>
        </w:rPr>
      </w:pPr>
      <w:r w:rsidRPr="00815E83">
        <w:rPr>
          <w:rFonts w:ascii="Times New Roman" w:eastAsia="Times New Roman" w:hAnsi="Times New Roman" w:cs="Times New Roman"/>
          <w:sz w:val="24"/>
          <w:szCs w:val="24"/>
          <w:lang w:eastAsia="pl-PL"/>
        </w:rPr>
        <w:t>Z prognozowanej sytuacji finansowej Gminy określonej w wymienionej WPF wynika, że wskaźnik spłat długu w pozostałych latach spłat,</w:t>
      </w:r>
      <w:r w:rsidRPr="00815E83">
        <w:rPr>
          <w:rFonts w:ascii="Times New Roman" w:eastAsia="Times New Roman" w:hAnsi="Times New Roman" w:cs="Times New Roman"/>
          <w:bCs/>
          <w:sz w:val="24"/>
          <w:szCs w:val="24"/>
          <w:lang w:eastAsia="pl-PL"/>
        </w:rPr>
        <w:t xml:space="preserve"> tj. w latach 2013 – 2017  nie przekroczy wielkości wskaźników wynikających z przepisów ustawy o finansach publicznych odnoszących się do określonych okresów.</w:t>
      </w:r>
    </w:p>
    <w:p w:rsidR="00815E83" w:rsidRPr="00815E83" w:rsidRDefault="00815E83" w:rsidP="00815E83">
      <w:pPr>
        <w:spacing w:after="0" w:line="240" w:lineRule="auto"/>
        <w:ind w:firstLine="720"/>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 xml:space="preserve">Biorąc powyższe pod uwagę Skład Orzekający </w:t>
      </w:r>
      <w:r w:rsidRPr="00815E83">
        <w:rPr>
          <w:rFonts w:ascii="Times New Roman" w:eastAsia="Times New Roman" w:hAnsi="Times New Roman" w:cs="Times New Roman"/>
          <w:bCs/>
          <w:sz w:val="24"/>
          <w:szCs w:val="24"/>
          <w:lang w:eastAsia="pl-PL"/>
        </w:rPr>
        <w:t>wydał opinię pozytywną.</w:t>
      </w:r>
      <w:r w:rsidRPr="00815E83">
        <w:rPr>
          <w:rFonts w:ascii="Times New Roman" w:eastAsia="Times New Roman" w:hAnsi="Times New Roman" w:cs="Times New Roman"/>
          <w:sz w:val="24"/>
          <w:szCs w:val="24"/>
          <w:lang w:eastAsia="pl-PL"/>
        </w:rPr>
        <w:t xml:space="preserve"> </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POUCZENIE</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ab/>
        <w:t>Od niniejszej uchwały służy prawo wniesienia odwołania do pełnego składu Kolegium Regionalnej Izby Obrachunkowej w Białymstoku, ul. Branickiego 13, w terminie 14 dni od dnia otrzymania uchwały.</w:t>
      </w: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both"/>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right"/>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Przewodniczący Składu Orzekającego</w:t>
      </w:r>
    </w:p>
    <w:p w:rsidR="00815E83" w:rsidRPr="00815E83" w:rsidRDefault="00815E83" w:rsidP="00815E83">
      <w:pPr>
        <w:spacing w:after="0" w:line="240" w:lineRule="auto"/>
        <w:jc w:val="right"/>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right"/>
        <w:rPr>
          <w:rFonts w:ascii="Times New Roman" w:eastAsia="Times New Roman" w:hAnsi="Times New Roman" w:cs="Times New Roman"/>
          <w:sz w:val="24"/>
          <w:szCs w:val="24"/>
          <w:lang w:eastAsia="pl-PL"/>
        </w:rPr>
      </w:pPr>
    </w:p>
    <w:p w:rsidR="00815E83" w:rsidRPr="00815E83" w:rsidRDefault="00815E83" w:rsidP="00815E83">
      <w:pPr>
        <w:spacing w:after="0" w:line="240" w:lineRule="auto"/>
        <w:jc w:val="right"/>
        <w:rPr>
          <w:rFonts w:ascii="Times New Roman" w:eastAsia="Times New Roman" w:hAnsi="Times New Roman" w:cs="Times New Roman"/>
          <w:sz w:val="24"/>
          <w:szCs w:val="24"/>
          <w:lang w:eastAsia="pl-PL"/>
        </w:rPr>
      </w:pPr>
    </w:p>
    <w:p w:rsidR="00815E83" w:rsidRPr="00815E83" w:rsidRDefault="00815E83" w:rsidP="00815E83">
      <w:pPr>
        <w:spacing w:after="0" w:line="240" w:lineRule="auto"/>
        <w:ind w:left="4956" w:firstLine="708"/>
        <w:jc w:val="center"/>
        <w:rPr>
          <w:rFonts w:ascii="Times New Roman" w:eastAsia="Times New Roman" w:hAnsi="Times New Roman" w:cs="Times New Roman"/>
          <w:sz w:val="24"/>
          <w:szCs w:val="24"/>
          <w:lang w:eastAsia="pl-PL"/>
        </w:rPr>
      </w:pPr>
      <w:r w:rsidRPr="00815E83">
        <w:rPr>
          <w:rFonts w:ascii="Times New Roman" w:eastAsia="Times New Roman" w:hAnsi="Times New Roman" w:cs="Times New Roman"/>
          <w:sz w:val="24"/>
          <w:szCs w:val="24"/>
          <w:lang w:eastAsia="pl-PL"/>
        </w:rPr>
        <w:t>Aleksander Piszczatowski</w:t>
      </w:r>
    </w:p>
    <w:p w:rsidR="00815E83" w:rsidRPr="00815E83" w:rsidRDefault="00815E83" w:rsidP="00815E83">
      <w:pPr>
        <w:spacing w:after="0" w:line="240" w:lineRule="auto"/>
        <w:ind w:left="4956" w:firstLine="708"/>
        <w:jc w:val="center"/>
        <w:rPr>
          <w:rFonts w:ascii="Times New Roman" w:eastAsia="Times New Roman" w:hAnsi="Times New Roman" w:cs="Times New Roman"/>
          <w:sz w:val="24"/>
          <w:szCs w:val="24"/>
          <w:lang w:eastAsia="pl-PL"/>
        </w:rPr>
      </w:pPr>
    </w:p>
    <w:p w:rsidR="00852B7A" w:rsidRDefault="00852B7A"/>
    <w:sectPr w:rsidR="00852B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E83"/>
    <w:rsid w:val="002040D7"/>
    <w:rsid w:val="003B04AE"/>
    <w:rsid w:val="007B5D69"/>
    <w:rsid w:val="00815E83"/>
    <w:rsid w:val="00852B7A"/>
    <w:rsid w:val="00CE38AA"/>
    <w:rsid w:val="00F80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E38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E38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E38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E38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637</Words>
  <Characters>3827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Mocarska</dc:creator>
  <cp:lastModifiedBy>Agnieszka Mocarska</cp:lastModifiedBy>
  <cp:revision>3</cp:revision>
  <cp:lastPrinted>2012-06-11T07:54:00Z</cp:lastPrinted>
  <dcterms:created xsi:type="dcterms:W3CDTF">2012-06-08T12:03:00Z</dcterms:created>
  <dcterms:modified xsi:type="dcterms:W3CDTF">2012-06-11T09:51:00Z</dcterms:modified>
</cp:coreProperties>
</file>